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AC59" w14:textId="77777777"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66F42472" w14:textId="77777777" w:rsidTr="00164C6F">
        <w:tc>
          <w:tcPr>
            <w:tcW w:w="14174" w:type="dxa"/>
          </w:tcPr>
          <w:p w14:paraId="03D0A369" w14:textId="77777777" w:rsidR="003513D7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  <w:r w:rsidR="00AA2D2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61994C9" w14:textId="22DBF112" w:rsidR="000157BB" w:rsidRDefault="003A1D05" w:rsidP="005A623B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157BB">
              <w:rPr>
                <w:sz w:val="20"/>
                <w:szCs w:val="20"/>
              </w:rPr>
              <w:t xml:space="preserve">To </w:t>
            </w:r>
            <w:r w:rsidR="00F44A84" w:rsidRPr="000157BB">
              <w:rPr>
                <w:sz w:val="20"/>
                <w:szCs w:val="20"/>
              </w:rPr>
              <w:t xml:space="preserve">lead </w:t>
            </w:r>
            <w:r w:rsidR="001A512F">
              <w:rPr>
                <w:sz w:val="20"/>
                <w:szCs w:val="20"/>
              </w:rPr>
              <w:t>on site</w:t>
            </w:r>
            <w:r w:rsidRPr="000157BB">
              <w:rPr>
                <w:sz w:val="20"/>
                <w:szCs w:val="20"/>
              </w:rPr>
              <w:t xml:space="preserve"> investigations into </w:t>
            </w:r>
            <w:r w:rsidR="00336859" w:rsidRPr="000157BB">
              <w:rPr>
                <w:sz w:val="20"/>
                <w:szCs w:val="20"/>
              </w:rPr>
              <w:t>regulated firms and individuals</w:t>
            </w:r>
            <w:r w:rsidRPr="000157BB">
              <w:rPr>
                <w:sz w:val="20"/>
                <w:szCs w:val="20"/>
              </w:rPr>
              <w:t xml:space="preserve"> </w:t>
            </w:r>
            <w:r w:rsidR="00274635">
              <w:rPr>
                <w:sz w:val="20"/>
                <w:szCs w:val="20"/>
              </w:rPr>
              <w:t>throughout England and Wales</w:t>
            </w:r>
            <w:r w:rsidR="005A7F4D">
              <w:rPr>
                <w:sz w:val="20"/>
                <w:szCs w:val="20"/>
              </w:rPr>
              <w:t xml:space="preserve"> (for which extensive travel will be required)</w:t>
            </w:r>
            <w:r w:rsidR="00274635">
              <w:rPr>
                <w:sz w:val="20"/>
                <w:szCs w:val="20"/>
              </w:rPr>
              <w:t xml:space="preserve"> </w:t>
            </w:r>
            <w:r w:rsidR="00A17C59" w:rsidRPr="000157BB">
              <w:rPr>
                <w:sz w:val="20"/>
                <w:szCs w:val="20"/>
              </w:rPr>
              <w:t xml:space="preserve">to identify, investigate and </w:t>
            </w:r>
            <w:r w:rsidR="00F44A84" w:rsidRPr="000157BB">
              <w:rPr>
                <w:sz w:val="20"/>
                <w:szCs w:val="20"/>
              </w:rPr>
              <w:t xml:space="preserve">secure evidence of </w:t>
            </w:r>
            <w:r w:rsidR="00A17C59" w:rsidRPr="000157BB">
              <w:rPr>
                <w:sz w:val="20"/>
                <w:szCs w:val="20"/>
              </w:rPr>
              <w:t>serious breaches of</w:t>
            </w:r>
            <w:r w:rsidR="007C0140" w:rsidRPr="000157BB">
              <w:rPr>
                <w:sz w:val="20"/>
                <w:szCs w:val="20"/>
              </w:rPr>
              <w:t xml:space="preserve"> professional </w:t>
            </w:r>
            <w:r w:rsidR="00A17C59" w:rsidRPr="000157BB">
              <w:rPr>
                <w:sz w:val="20"/>
                <w:szCs w:val="20"/>
              </w:rPr>
              <w:t>rules</w:t>
            </w:r>
            <w:r w:rsidR="007C0140" w:rsidRPr="000157BB">
              <w:rPr>
                <w:sz w:val="20"/>
                <w:szCs w:val="20"/>
              </w:rPr>
              <w:t xml:space="preserve"> and </w:t>
            </w:r>
            <w:r w:rsidR="00F44A84" w:rsidRPr="000157BB">
              <w:rPr>
                <w:sz w:val="20"/>
                <w:szCs w:val="20"/>
              </w:rPr>
              <w:t xml:space="preserve">other </w:t>
            </w:r>
            <w:r w:rsidR="007C0140" w:rsidRPr="000157BB">
              <w:rPr>
                <w:sz w:val="20"/>
                <w:szCs w:val="20"/>
              </w:rPr>
              <w:t>applicable legislation.</w:t>
            </w:r>
            <w:r w:rsidR="00A17C59" w:rsidRPr="000157BB">
              <w:rPr>
                <w:sz w:val="20"/>
                <w:szCs w:val="20"/>
              </w:rPr>
              <w:t xml:space="preserve"> </w:t>
            </w:r>
          </w:p>
          <w:p w14:paraId="4E6DD236" w14:textId="77777777" w:rsidR="000157BB" w:rsidRDefault="00F44A84" w:rsidP="005A623B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157BB">
              <w:rPr>
                <w:sz w:val="20"/>
                <w:szCs w:val="20"/>
              </w:rPr>
              <w:t>To produce</w:t>
            </w:r>
            <w:r w:rsidR="000157BB">
              <w:rPr>
                <w:sz w:val="20"/>
                <w:szCs w:val="20"/>
              </w:rPr>
              <w:t xml:space="preserve"> </w:t>
            </w:r>
            <w:r w:rsidRPr="000157BB">
              <w:rPr>
                <w:sz w:val="20"/>
                <w:szCs w:val="20"/>
              </w:rPr>
              <w:t>factual report</w:t>
            </w:r>
            <w:r w:rsidR="000157BB">
              <w:rPr>
                <w:sz w:val="20"/>
                <w:szCs w:val="20"/>
              </w:rPr>
              <w:t>s</w:t>
            </w:r>
            <w:r w:rsidRPr="000157BB">
              <w:rPr>
                <w:sz w:val="20"/>
                <w:szCs w:val="20"/>
              </w:rPr>
              <w:t xml:space="preserve"> setting out this evidence. </w:t>
            </w:r>
          </w:p>
          <w:p w14:paraId="662650BC" w14:textId="1C330017" w:rsidR="000009DC" w:rsidRPr="005A7F4D" w:rsidRDefault="000157BB" w:rsidP="005A7F4D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157BB">
              <w:rPr>
                <w:sz w:val="20"/>
                <w:szCs w:val="20"/>
              </w:rPr>
              <w:t>o represent the SRA</w:t>
            </w:r>
            <w:r>
              <w:rPr>
                <w:sz w:val="20"/>
                <w:szCs w:val="20"/>
              </w:rPr>
              <w:t xml:space="preserve"> by giving evidence at </w:t>
            </w:r>
            <w:r w:rsidR="00317587" w:rsidRPr="00B07ED9">
              <w:rPr>
                <w:rFonts w:ascii="Arial" w:hAnsi="Arial" w:cs="Arial"/>
                <w:sz w:val="20"/>
                <w:szCs w:val="20"/>
              </w:rPr>
              <w:t xml:space="preserve">the Solicitors Disciplinary Tribunal </w:t>
            </w:r>
            <w:r w:rsidR="00317587">
              <w:rPr>
                <w:rFonts w:ascii="Arial" w:hAnsi="Arial" w:cs="Arial"/>
                <w:sz w:val="20"/>
                <w:szCs w:val="20"/>
              </w:rPr>
              <w:t xml:space="preserve">and other </w:t>
            </w:r>
            <w:r>
              <w:rPr>
                <w:sz w:val="20"/>
                <w:szCs w:val="20"/>
              </w:rPr>
              <w:t xml:space="preserve">courts of law </w:t>
            </w:r>
            <w:r w:rsidR="00317587">
              <w:rPr>
                <w:sz w:val="20"/>
                <w:szCs w:val="20"/>
              </w:rPr>
              <w:t>in respect of</w:t>
            </w:r>
            <w:r>
              <w:rPr>
                <w:sz w:val="20"/>
                <w:szCs w:val="20"/>
              </w:rPr>
              <w:t xml:space="preserve"> forensic investigation findings.</w:t>
            </w:r>
            <w:r w:rsidRPr="000157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This includes </w:t>
            </w:r>
            <w:r w:rsidR="007F1340">
              <w:rPr>
                <w:sz w:val="20"/>
                <w:szCs w:val="20"/>
              </w:rPr>
              <w:t xml:space="preserve">providing </w:t>
            </w:r>
            <w:r>
              <w:rPr>
                <w:sz w:val="20"/>
                <w:szCs w:val="20"/>
              </w:rPr>
              <w:t>s</w:t>
            </w:r>
            <w:r w:rsidR="001B7245" w:rsidRPr="000157BB">
              <w:rPr>
                <w:sz w:val="20"/>
                <w:szCs w:val="20"/>
              </w:rPr>
              <w:t>upport</w:t>
            </w:r>
            <w:r w:rsidR="00C46F56">
              <w:rPr>
                <w:sz w:val="20"/>
                <w:szCs w:val="20"/>
              </w:rPr>
              <w:t xml:space="preserve"> to</w:t>
            </w:r>
            <w:r w:rsidR="001B7245" w:rsidRPr="000157BB">
              <w:rPr>
                <w:sz w:val="20"/>
                <w:szCs w:val="20"/>
              </w:rPr>
              <w:t xml:space="preserve"> the </w:t>
            </w:r>
            <w:r w:rsidR="00F44A84" w:rsidRPr="000157BB">
              <w:rPr>
                <w:sz w:val="20"/>
                <w:szCs w:val="20"/>
              </w:rPr>
              <w:t xml:space="preserve">SRA’s </w:t>
            </w:r>
            <w:r w:rsidR="001B7245" w:rsidRPr="000157BB">
              <w:rPr>
                <w:sz w:val="20"/>
                <w:szCs w:val="20"/>
              </w:rPr>
              <w:t xml:space="preserve">prosecution team </w:t>
            </w:r>
            <w:r w:rsidR="00F44A84" w:rsidRPr="000157BB">
              <w:rPr>
                <w:sz w:val="20"/>
                <w:szCs w:val="20"/>
              </w:rPr>
              <w:t xml:space="preserve">at </w:t>
            </w:r>
            <w:r>
              <w:rPr>
                <w:sz w:val="20"/>
                <w:szCs w:val="20"/>
              </w:rPr>
              <w:t>such hearings.</w:t>
            </w:r>
          </w:p>
        </w:tc>
      </w:tr>
      <w:tr w:rsidR="00164C6F" w14:paraId="410B2AE0" w14:textId="77777777" w:rsidTr="00164C6F">
        <w:tc>
          <w:tcPr>
            <w:tcW w:w="14174" w:type="dxa"/>
          </w:tcPr>
          <w:p w14:paraId="3F2715B0" w14:textId="77777777"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14:paraId="5977C678" w14:textId="77777777" w:rsidR="0076072D" w:rsidRDefault="005F1A7D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investigate</w:t>
            </w:r>
            <w:r w:rsidR="00AE04C6" w:rsidRPr="00B07ED9">
              <w:rPr>
                <w:rFonts w:ascii="Arial" w:hAnsi="Arial" w:cs="Arial"/>
                <w:sz w:val="20"/>
                <w:szCs w:val="20"/>
              </w:rPr>
              <w:t xml:space="preserve"> regulated </w:t>
            </w:r>
            <w:r w:rsidR="00336859" w:rsidRPr="00B07ED9">
              <w:rPr>
                <w:rFonts w:ascii="Arial" w:hAnsi="Arial" w:cs="Arial"/>
                <w:sz w:val="20"/>
                <w:szCs w:val="20"/>
              </w:rPr>
              <w:t xml:space="preserve">firms and </w:t>
            </w:r>
            <w:r w:rsidR="00B07ED9" w:rsidRPr="00B07ED9">
              <w:rPr>
                <w:rFonts w:ascii="Arial" w:hAnsi="Arial" w:cs="Arial"/>
                <w:sz w:val="20"/>
                <w:szCs w:val="20"/>
              </w:rPr>
              <w:t>individuals</w:t>
            </w:r>
            <w:r w:rsidR="0020011B">
              <w:rPr>
                <w:rFonts w:ascii="Arial" w:hAnsi="Arial" w:cs="Arial"/>
                <w:sz w:val="20"/>
                <w:szCs w:val="20"/>
              </w:rPr>
              <w:t>,</w:t>
            </w:r>
            <w:r w:rsidR="00F255F2" w:rsidRPr="00B07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E18">
              <w:rPr>
                <w:rFonts w:ascii="Arial" w:hAnsi="Arial" w:cs="Arial"/>
                <w:sz w:val="20"/>
                <w:szCs w:val="20"/>
              </w:rPr>
              <w:t xml:space="preserve">making clear and </w:t>
            </w:r>
            <w:r w:rsidR="009041D1">
              <w:rPr>
                <w:rFonts w:ascii="Arial" w:hAnsi="Arial" w:cs="Arial"/>
                <w:sz w:val="20"/>
                <w:szCs w:val="20"/>
              </w:rPr>
              <w:t>evidenced based decisions based on outcomes</w:t>
            </w:r>
            <w:r w:rsidR="0076072D">
              <w:rPr>
                <w:rFonts w:ascii="Arial" w:hAnsi="Arial" w:cs="Arial"/>
                <w:sz w:val="20"/>
                <w:szCs w:val="20"/>
              </w:rPr>
              <w:t>, protecting the public interest and mitigating regulatory risk.</w:t>
            </w:r>
          </w:p>
          <w:p w14:paraId="6305D903" w14:textId="77777777" w:rsidR="00356E18" w:rsidRDefault="0076072D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Assimil</w:t>
            </w:r>
            <w:r w:rsidR="000028D8">
              <w:rPr>
                <w:rFonts w:ascii="Arial" w:hAnsi="Arial" w:cs="Arial"/>
                <w:sz w:val="20"/>
                <w:szCs w:val="20"/>
              </w:rPr>
              <w:t>ating and analysing complex information and financial data</w:t>
            </w:r>
            <w:r w:rsidR="007D3409">
              <w:rPr>
                <w:rFonts w:ascii="Arial" w:hAnsi="Arial" w:cs="Arial"/>
                <w:sz w:val="20"/>
                <w:szCs w:val="20"/>
              </w:rPr>
              <w:t xml:space="preserve"> to ensure that a fair and accurate factual report is produced.</w:t>
            </w:r>
            <w:r w:rsidR="00CB3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6325BF" w14:textId="77777777" w:rsidR="00965238" w:rsidRDefault="00965238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 quickly to urgent matters where client money may be at risk</w:t>
            </w:r>
            <w:r w:rsidR="00481466">
              <w:rPr>
                <w:rFonts w:ascii="Arial" w:hAnsi="Arial" w:cs="Arial"/>
                <w:sz w:val="20"/>
                <w:szCs w:val="20"/>
              </w:rPr>
              <w:t>,</w:t>
            </w:r>
            <w:r w:rsidR="00DC1633">
              <w:rPr>
                <w:rFonts w:ascii="Arial" w:hAnsi="Arial" w:cs="Arial"/>
                <w:sz w:val="20"/>
                <w:szCs w:val="20"/>
              </w:rPr>
              <w:t xml:space="preserve"> with the ability to travel throughout England and Wales</w:t>
            </w:r>
            <w:r w:rsidR="00E021F6">
              <w:rPr>
                <w:rFonts w:ascii="Arial" w:hAnsi="Arial" w:cs="Arial"/>
                <w:sz w:val="20"/>
                <w:szCs w:val="20"/>
              </w:rPr>
              <w:t xml:space="preserve"> at short notice.</w:t>
            </w:r>
          </w:p>
          <w:p w14:paraId="60AC1289" w14:textId="77777777" w:rsidR="002F5160" w:rsidRDefault="00E63B40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alone</w:t>
            </w:r>
            <w:r w:rsidR="00E34BFC">
              <w:rPr>
                <w:rFonts w:ascii="Arial" w:hAnsi="Arial" w:cs="Arial"/>
                <w:sz w:val="20"/>
                <w:szCs w:val="20"/>
              </w:rPr>
              <w:t xml:space="preserve"> in remote locations to obtain evidence from various sources </w:t>
            </w:r>
            <w:r w:rsidR="002769A7">
              <w:rPr>
                <w:rFonts w:ascii="Arial" w:hAnsi="Arial" w:cs="Arial"/>
                <w:sz w:val="20"/>
                <w:szCs w:val="20"/>
              </w:rPr>
              <w:t>and in different formats to be able to substantiate</w:t>
            </w:r>
            <w:r w:rsidR="00587ABC">
              <w:rPr>
                <w:rFonts w:ascii="Arial" w:hAnsi="Arial" w:cs="Arial"/>
                <w:sz w:val="20"/>
                <w:szCs w:val="20"/>
              </w:rPr>
              <w:t xml:space="preserve"> reported issues.</w:t>
            </w:r>
          </w:p>
          <w:p w14:paraId="444FFF3D" w14:textId="199A711D" w:rsidR="00587ABC" w:rsidRDefault="00587ABC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make and articulate </w:t>
            </w:r>
            <w:r w:rsidR="00505774">
              <w:rPr>
                <w:rFonts w:ascii="Arial" w:hAnsi="Arial" w:cs="Arial"/>
                <w:sz w:val="20"/>
                <w:szCs w:val="20"/>
              </w:rPr>
              <w:t>investigative decisions succinctly and with clarity</w:t>
            </w:r>
            <w:r w:rsidR="007E5600">
              <w:rPr>
                <w:rFonts w:ascii="Arial" w:hAnsi="Arial" w:cs="Arial"/>
                <w:sz w:val="20"/>
                <w:szCs w:val="20"/>
              </w:rPr>
              <w:t xml:space="preserve"> in accordance with SRA Standards &amp; Regulations and its Enforcement Strategy</w:t>
            </w:r>
            <w:r w:rsidR="0050577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FFAF76" w14:textId="58EF6568" w:rsidR="009B0478" w:rsidRPr="007E5600" w:rsidRDefault="009B0478" w:rsidP="007E5600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5600">
              <w:rPr>
                <w:rFonts w:ascii="Arial" w:hAnsi="Arial" w:cs="Arial"/>
                <w:sz w:val="20"/>
                <w:szCs w:val="20"/>
              </w:rPr>
              <w:t xml:space="preserve">To assess </w:t>
            </w:r>
            <w:r w:rsidR="0072737D" w:rsidRPr="007E5600">
              <w:rPr>
                <w:rFonts w:ascii="Arial" w:hAnsi="Arial" w:cs="Arial"/>
                <w:sz w:val="20"/>
                <w:szCs w:val="20"/>
              </w:rPr>
              <w:t xml:space="preserve">a firm or individual’s </w:t>
            </w:r>
            <w:r w:rsidRPr="007E5600">
              <w:rPr>
                <w:rFonts w:ascii="Arial" w:hAnsi="Arial" w:cs="Arial"/>
                <w:sz w:val="20"/>
                <w:szCs w:val="20"/>
              </w:rPr>
              <w:t xml:space="preserve">compliance with the </w:t>
            </w:r>
            <w:r w:rsidR="00393455" w:rsidRPr="007E5600">
              <w:rPr>
                <w:rFonts w:ascii="Arial" w:hAnsi="Arial" w:cs="Arial"/>
                <w:sz w:val="20"/>
                <w:szCs w:val="20"/>
              </w:rPr>
              <w:t>SRA Accounts Rules, Code of Conduct, Money Laundering Regulations and any other relevant</w:t>
            </w:r>
            <w:r w:rsidR="00AB7B99" w:rsidRPr="007E5600">
              <w:rPr>
                <w:rFonts w:ascii="Arial" w:hAnsi="Arial" w:cs="Arial"/>
                <w:sz w:val="20"/>
                <w:szCs w:val="20"/>
              </w:rPr>
              <w:t xml:space="preserve"> rules/legislation.</w:t>
            </w:r>
            <w:r w:rsidR="00393455" w:rsidRPr="007E56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FB15B7" w14:textId="0DA4EAE8" w:rsidR="00FC213F" w:rsidRPr="00B07ED9" w:rsidRDefault="0044674F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838D0">
              <w:rPr>
                <w:rFonts w:ascii="Arial" w:hAnsi="Arial" w:cs="Arial"/>
                <w:sz w:val="20"/>
                <w:szCs w:val="20"/>
              </w:rPr>
              <w:t>anage and report on progress and key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on a timely basis</w:t>
            </w:r>
            <w:r w:rsidR="00E838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7CCAC5" w14:textId="77777777" w:rsidR="002F5160" w:rsidRPr="00B07ED9" w:rsidRDefault="00F255F2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7ED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56E18">
              <w:rPr>
                <w:rFonts w:ascii="Arial" w:hAnsi="Arial" w:cs="Arial"/>
                <w:sz w:val="20"/>
                <w:szCs w:val="20"/>
              </w:rPr>
              <w:t>represent the SRA and give evidence at</w:t>
            </w:r>
            <w:r w:rsidRPr="00B07ED9">
              <w:rPr>
                <w:rFonts w:ascii="Arial" w:hAnsi="Arial" w:cs="Arial"/>
                <w:sz w:val="20"/>
                <w:szCs w:val="20"/>
              </w:rPr>
              <w:t xml:space="preserve"> the Solicitors Disciplinary Tribunal and</w:t>
            </w:r>
            <w:r w:rsidR="00430256">
              <w:rPr>
                <w:rFonts w:ascii="Arial" w:hAnsi="Arial" w:cs="Arial"/>
                <w:sz w:val="20"/>
                <w:szCs w:val="20"/>
              </w:rPr>
              <w:t>/</w:t>
            </w:r>
            <w:r w:rsidRPr="00B07ED9">
              <w:rPr>
                <w:rFonts w:ascii="Arial" w:hAnsi="Arial" w:cs="Arial"/>
                <w:sz w:val="20"/>
                <w:szCs w:val="20"/>
              </w:rPr>
              <w:t>or Courts.</w:t>
            </w:r>
          </w:p>
          <w:p w14:paraId="377BD7BC" w14:textId="77777777" w:rsidR="00356E18" w:rsidRPr="007C0140" w:rsidRDefault="00F21E00" w:rsidP="00FF4309">
            <w:pPr>
              <w:pStyle w:val="PlainText"/>
              <w:numPr>
                <w:ilvl w:val="0"/>
                <w:numId w:val="5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56E18" w:rsidRPr="00B07ED9">
              <w:rPr>
                <w:rFonts w:ascii="Arial" w:hAnsi="Arial" w:cs="Arial"/>
                <w:sz w:val="20"/>
                <w:szCs w:val="20"/>
              </w:rPr>
              <w:t xml:space="preserve">onduct interviews </w:t>
            </w:r>
            <w:r w:rsidR="00356E18">
              <w:rPr>
                <w:rFonts w:ascii="Arial" w:hAnsi="Arial" w:cs="Arial"/>
                <w:sz w:val="20"/>
                <w:szCs w:val="20"/>
              </w:rPr>
              <w:t xml:space="preserve">and obtain witness statements </w:t>
            </w:r>
            <w:r w:rsidR="00356E18" w:rsidRPr="00B07ED9">
              <w:rPr>
                <w:rFonts w:ascii="Arial" w:hAnsi="Arial" w:cs="Arial"/>
                <w:sz w:val="20"/>
                <w:szCs w:val="20"/>
              </w:rPr>
              <w:t xml:space="preserve">with solicitors, employees and third parties </w:t>
            </w:r>
            <w:r w:rsidR="004C02A2">
              <w:rPr>
                <w:rFonts w:ascii="Arial" w:hAnsi="Arial" w:cs="Arial"/>
                <w:sz w:val="20"/>
                <w:szCs w:val="20"/>
              </w:rPr>
              <w:t xml:space="preserve">in an authoritative and competent manner and in accordance with </w:t>
            </w:r>
            <w:r w:rsidR="00C76B42">
              <w:rPr>
                <w:rFonts w:ascii="Arial" w:hAnsi="Arial" w:cs="Arial"/>
                <w:sz w:val="20"/>
                <w:szCs w:val="20"/>
              </w:rPr>
              <w:t>a risk-based, outcomes-focussed approach.</w:t>
            </w:r>
          </w:p>
          <w:p w14:paraId="25101DFE" w14:textId="77777777" w:rsidR="00E27DF9" w:rsidRPr="00E27DF9" w:rsidRDefault="00356E18" w:rsidP="00E27DF9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hold </w:t>
            </w:r>
            <w:r w:rsidR="00EF5DA2">
              <w:rPr>
                <w:rFonts w:ascii="Arial" w:hAnsi="Arial" w:cs="Arial"/>
                <w:sz w:val="20"/>
                <w:szCs w:val="20"/>
              </w:rPr>
              <w:t>enough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about the SRA and reforms within the regulated legal sector in order to </w:t>
            </w:r>
            <w:r w:rsidR="007B5D35">
              <w:rPr>
                <w:rFonts w:ascii="Arial" w:hAnsi="Arial" w:cs="Arial"/>
                <w:sz w:val="20"/>
                <w:szCs w:val="20"/>
              </w:rPr>
              <w:t>explain changes to</w:t>
            </w:r>
            <w:r>
              <w:rPr>
                <w:rFonts w:ascii="Arial" w:hAnsi="Arial" w:cs="Arial"/>
                <w:sz w:val="20"/>
                <w:szCs w:val="20"/>
              </w:rPr>
              <w:t xml:space="preserve"> solicitors</w:t>
            </w:r>
            <w:r w:rsidR="007B5D3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employees and </w:t>
            </w:r>
            <w:r w:rsidR="007B5D35">
              <w:rPr>
                <w:rFonts w:ascii="Arial" w:hAnsi="Arial" w:cs="Arial"/>
                <w:sz w:val="20"/>
                <w:szCs w:val="20"/>
              </w:rPr>
              <w:t xml:space="preserve">to signpost </w:t>
            </w:r>
            <w:r>
              <w:rPr>
                <w:rFonts w:ascii="Arial" w:hAnsi="Arial" w:cs="Arial"/>
                <w:sz w:val="20"/>
                <w:szCs w:val="20"/>
              </w:rPr>
              <w:t>clients to the relevant SRA department.</w:t>
            </w:r>
          </w:p>
          <w:p w14:paraId="765B52D1" w14:textId="77777777" w:rsidR="002F5160" w:rsidRDefault="00E27DF9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expertise and knowledge across the SRA </w:t>
            </w:r>
            <w:r w:rsidR="00481466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promote </w:t>
            </w:r>
            <w:r w:rsidR="00BD2A2B">
              <w:rPr>
                <w:rFonts w:ascii="Arial" w:hAnsi="Arial" w:cs="Arial"/>
                <w:sz w:val="20"/>
                <w:szCs w:val="20"/>
              </w:rPr>
              <w:t xml:space="preserve">and contribute to a </w:t>
            </w:r>
            <w:r w:rsidR="003259F6">
              <w:rPr>
                <w:rFonts w:ascii="Arial" w:hAnsi="Arial" w:cs="Arial"/>
                <w:sz w:val="20"/>
                <w:szCs w:val="20"/>
              </w:rPr>
              <w:t>high-performance</w:t>
            </w:r>
            <w:r w:rsidR="00BD2A2B">
              <w:rPr>
                <w:rFonts w:ascii="Arial" w:hAnsi="Arial" w:cs="Arial"/>
                <w:sz w:val="20"/>
                <w:szCs w:val="20"/>
              </w:rPr>
              <w:t xml:space="preserve"> culture</w:t>
            </w:r>
            <w:r w:rsidR="00D86744">
              <w:rPr>
                <w:rFonts w:ascii="Arial" w:hAnsi="Arial" w:cs="Arial"/>
                <w:sz w:val="20"/>
                <w:szCs w:val="20"/>
              </w:rPr>
              <w:t xml:space="preserve"> and assist in identifying </w:t>
            </w:r>
            <w:r w:rsidR="000A66DB">
              <w:rPr>
                <w:rFonts w:ascii="Arial" w:hAnsi="Arial" w:cs="Arial"/>
                <w:sz w:val="20"/>
                <w:szCs w:val="20"/>
              </w:rPr>
              <w:t>new areas of risk.</w:t>
            </w:r>
          </w:p>
          <w:p w14:paraId="288508F3" w14:textId="77777777" w:rsidR="00BD2A2B" w:rsidRPr="00B07ED9" w:rsidRDefault="00BD2A2B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5F68B3">
              <w:rPr>
                <w:rFonts w:ascii="Arial" w:hAnsi="Arial" w:cs="Arial"/>
                <w:sz w:val="20"/>
                <w:szCs w:val="20"/>
              </w:rPr>
              <w:t>-actively collaborating across functions and engaging on projects to support</w:t>
            </w:r>
            <w:r w:rsidR="003259F6">
              <w:rPr>
                <w:rFonts w:ascii="Arial" w:hAnsi="Arial" w:cs="Arial"/>
                <w:sz w:val="20"/>
                <w:szCs w:val="20"/>
              </w:rPr>
              <w:t xml:space="preserve"> the effective delivery of SRA objectives.</w:t>
            </w:r>
          </w:p>
          <w:p w14:paraId="12B510D8" w14:textId="77777777" w:rsidR="002F5160" w:rsidRPr="00B07ED9" w:rsidRDefault="005B7A80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7ED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B5D35">
              <w:rPr>
                <w:rFonts w:ascii="Arial" w:hAnsi="Arial" w:cs="Arial"/>
                <w:sz w:val="20"/>
                <w:szCs w:val="20"/>
              </w:rPr>
              <w:t xml:space="preserve">compile and </w:t>
            </w:r>
            <w:r w:rsidR="00356E18">
              <w:rPr>
                <w:rFonts w:ascii="Arial" w:hAnsi="Arial" w:cs="Arial"/>
                <w:sz w:val="20"/>
                <w:szCs w:val="20"/>
              </w:rPr>
              <w:t xml:space="preserve">cross reference complex </w:t>
            </w:r>
            <w:r w:rsidRPr="00B07ED9">
              <w:rPr>
                <w:rFonts w:ascii="Arial" w:hAnsi="Arial" w:cs="Arial"/>
                <w:sz w:val="20"/>
                <w:szCs w:val="20"/>
              </w:rPr>
              <w:t>investigation files</w:t>
            </w:r>
            <w:r w:rsidR="00EC1696">
              <w:rPr>
                <w:rFonts w:ascii="Arial" w:hAnsi="Arial" w:cs="Arial"/>
                <w:sz w:val="20"/>
                <w:szCs w:val="20"/>
              </w:rPr>
              <w:t xml:space="preserve"> in order that all investigative evidence and findings can be easily identified by a third party when necessary.</w:t>
            </w:r>
          </w:p>
          <w:p w14:paraId="4753FBA5" w14:textId="77777777" w:rsidR="005B7A80" w:rsidRDefault="004E5674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7ED9">
              <w:rPr>
                <w:rFonts w:ascii="Arial" w:hAnsi="Arial" w:cs="Arial"/>
                <w:sz w:val="20"/>
                <w:szCs w:val="20"/>
              </w:rPr>
              <w:t>Liaise where necessary with other regulators, law enforcement and other external agencies.</w:t>
            </w:r>
          </w:p>
          <w:p w14:paraId="7BE9C639" w14:textId="70EF26EF" w:rsidR="003259F6" w:rsidRDefault="00E96148" w:rsidP="001357F6">
            <w:pPr>
              <w:pStyle w:val="PlainText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a positive role model to others by way of full engagement in new initiatives and ways of working.</w:t>
            </w:r>
          </w:p>
          <w:p w14:paraId="52667E61" w14:textId="77777777" w:rsidR="001357F6" w:rsidRPr="00BB34EB" w:rsidRDefault="001357F6" w:rsidP="005F55AF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C6F" w14:paraId="0B4B0788" w14:textId="77777777" w:rsidTr="00164C6F">
        <w:tc>
          <w:tcPr>
            <w:tcW w:w="14174" w:type="dxa"/>
          </w:tcPr>
          <w:p w14:paraId="6478B2D5" w14:textId="77777777"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14:paraId="05717EF5" w14:textId="77777777" w:rsidR="00164C6F" w:rsidRPr="002F5160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14:paraId="6E202DDB" w14:textId="77777777" w:rsidR="007A5ED3" w:rsidRDefault="007A5ED3" w:rsidP="0014015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14:paraId="638C14E1" w14:textId="77777777" w:rsidR="00AF6D9C" w:rsidRDefault="00AF6D9C" w:rsidP="00AF6D9C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accountancy skills with the ability to understand solicitors accounts, client ledgers and reconciliations.</w:t>
            </w:r>
          </w:p>
          <w:p w14:paraId="1009F25A" w14:textId="77777777" w:rsidR="00336859" w:rsidRDefault="00EA02FE" w:rsidP="00336859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A02FE">
              <w:rPr>
                <w:rFonts w:ascii="Arial" w:hAnsi="Arial" w:cs="Arial"/>
                <w:sz w:val="20"/>
                <w:szCs w:val="20"/>
              </w:rPr>
              <w:t>Experience in accountancy, law or relevant regulation / investigative environment.</w:t>
            </w:r>
          </w:p>
          <w:p w14:paraId="68A32EC6" w14:textId="77777777" w:rsidR="00A138EC" w:rsidRPr="00336859" w:rsidRDefault="00A138EC" w:rsidP="00A138EC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A02FE">
              <w:rPr>
                <w:rFonts w:ascii="Arial" w:hAnsi="Arial" w:cs="Arial"/>
                <w:sz w:val="20"/>
                <w:szCs w:val="20"/>
              </w:rPr>
              <w:t>Resilient and able to cope in high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EA02FE">
              <w:rPr>
                <w:rFonts w:ascii="Arial" w:hAnsi="Arial" w:cs="Arial"/>
                <w:sz w:val="20"/>
                <w:szCs w:val="20"/>
              </w:rPr>
              <w:t xml:space="preserve"> challenging environment</w:t>
            </w:r>
            <w:r>
              <w:rPr>
                <w:rFonts w:ascii="Arial" w:hAnsi="Arial" w:cs="Arial"/>
                <w:sz w:val="20"/>
                <w:szCs w:val="20"/>
              </w:rPr>
              <w:t>s, often working alone and in remote locations.</w:t>
            </w:r>
          </w:p>
          <w:p w14:paraId="57465817" w14:textId="77777777" w:rsidR="00336859" w:rsidRPr="00A138EC" w:rsidRDefault="002D69A1" w:rsidP="00A138EC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138EC">
              <w:rPr>
                <w:rFonts w:ascii="Arial" w:hAnsi="Arial" w:cs="Arial"/>
                <w:sz w:val="20"/>
                <w:szCs w:val="20"/>
              </w:rPr>
              <w:lastRenderedPageBreak/>
              <w:t>Proven a</w:t>
            </w:r>
            <w:r w:rsidR="00EA02FE" w:rsidRPr="00A138EC">
              <w:rPr>
                <w:rFonts w:ascii="Arial" w:hAnsi="Arial" w:cs="Arial"/>
                <w:sz w:val="20"/>
                <w:szCs w:val="20"/>
              </w:rPr>
              <w:t xml:space="preserve">bility to analyse, assimilate and </w:t>
            </w:r>
            <w:r w:rsidR="00A31368" w:rsidRPr="00A138EC">
              <w:rPr>
                <w:rFonts w:ascii="Arial" w:hAnsi="Arial" w:cs="Arial"/>
                <w:sz w:val="20"/>
                <w:szCs w:val="20"/>
              </w:rPr>
              <w:t xml:space="preserve">evaluate large volumes of information in an efficient and </w:t>
            </w:r>
            <w:r w:rsidR="00101F77" w:rsidRPr="00A138EC">
              <w:rPr>
                <w:rFonts w:ascii="Arial" w:hAnsi="Arial" w:cs="Arial"/>
                <w:sz w:val="20"/>
                <w:szCs w:val="20"/>
              </w:rPr>
              <w:t>effective way</w:t>
            </w:r>
            <w:r w:rsidR="00EA02FE" w:rsidRPr="00A138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AE555A" w14:textId="77777777" w:rsidR="00336859" w:rsidRPr="00336859" w:rsidRDefault="000B4668" w:rsidP="00336859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Significant experience of </w:t>
            </w:r>
            <w:r w:rsidR="000D548E">
              <w:rPr>
                <w:rFonts w:ascii="Arial" w:hAnsi="Arial" w:cs="Arial"/>
                <w:sz w:val="20"/>
                <w:szCs w:val="20"/>
              </w:rPr>
              <w:t>applying and interpreting legislation, policy and criteria in decision making or in the provision of legal advice.</w:t>
            </w:r>
          </w:p>
          <w:p w14:paraId="474BBB18" w14:textId="77777777" w:rsidR="00454FA8" w:rsidRDefault="003B4A89" w:rsidP="00336859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understanding of how the principles of statutory regulation impact </w:t>
            </w:r>
            <w:r w:rsidR="00585D8D">
              <w:rPr>
                <w:rFonts w:ascii="Arial" w:hAnsi="Arial" w:cs="Arial"/>
                <w:sz w:val="20"/>
                <w:szCs w:val="20"/>
              </w:rPr>
              <w:t>on consumers and the importance of maintaining and upholding standards in the public interest.</w:t>
            </w:r>
          </w:p>
          <w:p w14:paraId="3F555F29" w14:textId="77777777" w:rsidR="00D97A0A" w:rsidRPr="00336859" w:rsidRDefault="00D97A0A" w:rsidP="00336859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adopt a pro-active approach to achieve positive outcomes in a risk-based manner.</w:t>
            </w:r>
          </w:p>
          <w:p w14:paraId="493080C2" w14:textId="77777777" w:rsidR="00336859" w:rsidRPr="00336859" w:rsidRDefault="00A53253" w:rsidP="00336859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communication skills at all levels </w:t>
            </w:r>
            <w:r w:rsidR="00D97F63">
              <w:rPr>
                <w:rFonts w:ascii="Arial" w:hAnsi="Arial" w:cs="Arial"/>
                <w:sz w:val="20"/>
                <w:szCs w:val="20"/>
              </w:rPr>
              <w:t xml:space="preserve">and in particular the ability to make complex matters easily understood by lay </w:t>
            </w:r>
            <w:r w:rsidR="00B62122">
              <w:rPr>
                <w:rFonts w:ascii="Arial" w:hAnsi="Arial" w:cs="Arial"/>
                <w:sz w:val="20"/>
                <w:szCs w:val="20"/>
              </w:rPr>
              <w:t>people.</w:t>
            </w:r>
          </w:p>
          <w:p w14:paraId="64C87CA6" w14:textId="598C3A1C" w:rsidR="00336859" w:rsidRDefault="00EA02FE" w:rsidP="00140156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A02FE">
              <w:rPr>
                <w:rFonts w:ascii="Arial" w:hAnsi="Arial" w:cs="Arial"/>
                <w:sz w:val="20"/>
                <w:szCs w:val="20"/>
              </w:rPr>
              <w:t>Full UK driving licen</w:t>
            </w:r>
            <w:r w:rsidR="00AF45DB">
              <w:rPr>
                <w:rFonts w:ascii="Arial" w:hAnsi="Arial" w:cs="Arial"/>
                <w:sz w:val="20"/>
                <w:szCs w:val="20"/>
              </w:rPr>
              <w:t>c</w:t>
            </w:r>
            <w:r w:rsidRPr="00EA02FE">
              <w:rPr>
                <w:rFonts w:ascii="Arial" w:hAnsi="Arial" w:cs="Arial"/>
                <w:sz w:val="20"/>
                <w:szCs w:val="20"/>
              </w:rPr>
              <w:t>e (outside London posts)</w:t>
            </w:r>
            <w:r w:rsidR="005F1A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62D4E7" w14:textId="77777777" w:rsidR="00B07ED9" w:rsidRPr="00B07ED9" w:rsidRDefault="00B07ED9" w:rsidP="00B07ED9">
            <w:pPr>
              <w:pStyle w:val="ListParagraph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3C8E91A3" w14:textId="77777777" w:rsidR="00B07ED9" w:rsidRPr="00B07ED9" w:rsidRDefault="00CB570E" w:rsidP="00B07ED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B570E">
              <w:rPr>
                <w:b/>
                <w:sz w:val="20"/>
                <w:szCs w:val="20"/>
              </w:rPr>
              <w:t>Desirable</w:t>
            </w:r>
            <w:r w:rsidR="002F5160" w:rsidRPr="00CB570E">
              <w:rPr>
                <w:b/>
                <w:sz w:val="20"/>
                <w:szCs w:val="20"/>
              </w:rPr>
              <w:t xml:space="preserve"> </w:t>
            </w:r>
          </w:p>
          <w:p w14:paraId="4475ED76" w14:textId="77777777" w:rsidR="00336859" w:rsidRDefault="00EA02FE" w:rsidP="00336859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A02FE">
              <w:rPr>
                <w:rFonts w:ascii="Arial" w:hAnsi="Arial" w:cs="Arial"/>
                <w:sz w:val="20"/>
                <w:szCs w:val="20"/>
              </w:rPr>
              <w:t>Degree and</w:t>
            </w:r>
            <w:r w:rsidR="007A1FCB">
              <w:rPr>
                <w:rFonts w:ascii="Arial" w:hAnsi="Arial" w:cs="Arial"/>
                <w:sz w:val="20"/>
                <w:szCs w:val="20"/>
              </w:rPr>
              <w:t>/</w:t>
            </w:r>
            <w:r w:rsidRPr="00EA02FE">
              <w:rPr>
                <w:rFonts w:ascii="Arial" w:hAnsi="Arial" w:cs="Arial"/>
                <w:sz w:val="20"/>
                <w:szCs w:val="20"/>
              </w:rPr>
              <w:t xml:space="preserve">or ideally hold a professional qualification such as an accountancy or legal qualification. </w:t>
            </w:r>
          </w:p>
          <w:p w14:paraId="7B239A23" w14:textId="77777777" w:rsidR="0000125D" w:rsidRDefault="0000125D" w:rsidP="0000125D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knowledge of the application of relevant SRA legislation, regulatory standards and procedures.</w:t>
            </w:r>
          </w:p>
          <w:p w14:paraId="1FDD1B7D" w14:textId="23881F0E" w:rsidR="0000125D" w:rsidRDefault="0000125D" w:rsidP="0000125D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understanding of SRA objectives and the implications of the Forensic Investigation function.</w:t>
            </w:r>
          </w:p>
          <w:p w14:paraId="381C28F7" w14:textId="4E902CB7" w:rsidR="004E6893" w:rsidRPr="004E6893" w:rsidRDefault="004E6893" w:rsidP="004E6893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A02FE">
              <w:rPr>
                <w:rFonts w:ascii="Arial" w:hAnsi="Arial" w:cs="Arial"/>
                <w:sz w:val="20"/>
                <w:szCs w:val="20"/>
              </w:rPr>
              <w:t>Working knowledge of Fraud Act, Money Laundering Regulations and the Proceeds of Crime Act.</w:t>
            </w:r>
          </w:p>
          <w:p w14:paraId="00745E1C" w14:textId="77777777" w:rsidR="002F5160" w:rsidRPr="002F5160" w:rsidRDefault="002F5160" w:rsidP="002F5160">
            <w:pPr>
              <w:rPr>
                <w:b/>
                <w:sz w:val="20"/>
                <w:szCs w:val="20"/>
              </w:rPr>
            </w:pPr>
          </w:p>
        </w:tc>
      </w:tr>
    </w:tbl>
    <w:p w14:paraId="586C9817" w14:textId="77777777"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11"/>
      <w:footerReference w:type="default" r:id="rId12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0C8C0" w14:textId="77777777" w:rsidR="006B05DE" w:rsidRDefault="006B05DE" w:rsidP="002174DF">
      <w:r>
        <w:separator/>
      </w:r>
    </w:p>
  </w:endnote>
  <w:endnote w:type="continuationSeparator" w:id="0">
    <w:p w14:paraId="01BB8A18" w14:textId="77777777" w:rsidR="006B05DE" w:rsidRDefault="006B05DE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BBDF" w14:textId="77777777" w:rsidR="00D12BF4" w:rsidRPr="003513D7" w:rsidRDefault="00D12BF4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</w:t>
    </w:r>
    <w:proofErr w:type="gramStart"/>
    <w:r>
      <w:rPr>
        <w:b/>
        <w:sz w:val="16"/>
        <w:szCs w:val="16"/>
      </w:rPr>
      <w:t>aligned  to</w:t>
    </w:r>
    <w:proofErr w:type="gramEnd"/>
    <w:r>
      <w:rPr>
        <w:b/>
        <w:sz w:val="16"/>
        <w:szCs w:val="16"/>
      </w:rPr>
      <w:t xml:space="preserve">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14:paraId="32A22A90" w14:textId="77777777" w:rsidR="00D12BF4" w:rsidRDefault="00D12BF4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14:paraId="124793E8" w14:textId="77777777" w:rsidR="00D12BF4" w:rsidRPr="003513D7" w:rsidRDefault="00D12BF4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14:paraId="5F01EA98" w14:textId="77777777" w:rsidR="00D12BF4" w:rsidRDefault="00D12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5672" w14:textId="77777777" w:rsidR="006B05DE" w:rsidRDefault="006B05DE" w:rsidP="002174DF">
      <w:r>
        <w:separator/>
      </w:r>
    </w:p>
  </w:footnote>
  <w:footnote w:type="continuationSeparator" w:id="0">
    <w:p w14:paraId="1A2A520B" w14:textId="77777777" w:rsidR="006B05DE" w:rsidRDefault="006B05DE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5C1E" w14:textId="77777777" w:rsidR="00D12BF4" w:rsidRDefault="00D12BF4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>
      <w:rPr>
        <w:b/>
        <w:sz w:val="28"/>
        <w:szCs w:val="28"/>
      </w:rPr>
      <w:t>Forensic Investiga</w:t>
    </w:r>
    <w:r w:rsidR="00453CD7">
      <w:rPr>
        <w:b/>
        <w:sz w:val="28"/>
        <w:szCs w:val="28"/>
      </w:rPr>
      <w:t>tion Officer</w:t>
    </w:r>
    <w:r w:rsidRPr="002174DF">
      <w:rPr>
        <w:b/>
        <w:sz w:val="28"/>
        <w:szCs w:val="28"/>
      </w:rPr>
      <w:t xml:space="preserve"> </w:t>
    </w:r>
  </w:p>
  <w:p w14:paraId="6411B334" w14:textId="77777777" w:rsidR="00D12BF4" w:rsidRPr="00CC24D1" w:rsidRDefault="00F91E0A" w:rsidP="002174D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Investigation and Supervision Directorate</w:t>
    </w:r>
    <w:r w:rsidR="00D12BF4" w:rsidRPr="00E27D22">
      <w:rPr>
        <w:b/>
        <w:noProof/>
        <w:sz w:val="28"/>
        <w:szCs w:val="28"/>
        <w:lang w:eastAsia="zh-CN"/>
      </w:rPr>
      <w:tab/>
    </w:r>
    <w:r w:rsidR="00D12BF4" w:rsidRPr="007D7E14">
      <w:rPr>
        <w:b/>
        <w:noProof/>
        <w:sz w:val="28"/>
        <w:szCs w:val="28"/>
        <w:lang w:eastAsia="en-GB" w:bidi="ar-SA"/>
      </w:rPr>
      <w:drawing>
        <wp:anchor distT="0" distB="0" distL="114300" distR="114300" simplePos="0" relativeHeight="251659264" behindDoc="0" locked="0" layoutInCell="1" allowOverlap="1" wp14:anchorId="623DA56D" wp14:editId="7200256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14B699" w14:textId="77777777" w:rsidR="00D12BF4" w:rsidRPr="00E27D22" w:rsidRDefault="00D12BF4" w:rsidP="002174DF">
    <w:pPr>
      <w:pStyle w:val="Header"/>
      <w:rPr>
        <w:b/>
      </w:rPr>
    </w:pPr>
  </w:p>
  <w:p w14:paraId="33ADC3DB" w14:textId="77777777" w:rsidR="00D12BF4" w:rsidRPr="00E27D22" w:rsidRDefault="00D12BF4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>Operational/Delivery</w:t>
    </w:r>
  </w:p>
  <w:p w14:paraId="2C3F6BD9" w14:textId="77777777" w:rsidR="00D12BF4" w:rsidRPr="00E27D22" w:rsidRDefault="00D12BF4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 w:rsidR="00F44A84">
      <w:rPr>
        <w:b/>
      </w:rPr>
      <w:t>4</w:t>
    </w:r>
    <w:r>
      <w:rPr>
        <w:b/>
      </w:rPr>
      <w:t xml:space="preserve"> (Upper)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56A"/>
    <w:multiLevelType w:val="hybridMultilevel"/>
    <w:tmpl w:val="DBC48A5A"/>
    <w:lvl w:ilvl="0" w:tplc="F37A2342">
      <w:start w:val="8"/>
      <w:numFmt w:val="bullet"/>
      <w:lvlText w:val=""/>
      <w:lvlJc w:val="left"/>
      <w:pPr>
        <w:ind w:left="397" w:hanging="397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3109"/>
    <w:multiLevelType w:val="hybridMultilevel"/>
    <w:tmpl w:val="C99CF050"/>
    <w:lvl w:ilvl="0" w:tplc="12AA5F80">
      <w:start w:val="8"/>
      <w:numFmt w:val="bullet"/>
      <w:lvlText w:val=""/>
      <w:lvlJc w:val="left"/>
      <w:pPr>
        <w:ind w:left="170" w:hanging="17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347CB"/>
    <w:multiLevelType w:val="hybridMultilevel"/>
    <w:tmpl w:val="148CC100"/>
    <w:lvl w:ilvl="0" w:tplc="62F4813A">
      <w:start w:val="8"/>
      <w:numFmt w:val="bullet"/>
      <w:lvlText w:val=""/>
      <w:lvlJc w:val="left"/>
      <w:pPr>
        <w:ind w:left="720" w:hanging="72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6690C"/>
    <w:multiLevelType w:val="hybridMultilevel"/>
    <w:tmpl w:val="826AA302"/>
    <w:lvl w:ilvl="0" w:tplc="EAEAA44C">
      <w:start w:val="8"/>
      <w:numFmt w:val="bullet"/>
      <w:lvlText w:val=""/>
      <w:lvlJc w:val="left"/>
      <w:pPr>
        <w:ind w:left="284" w:hanging="284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6ECF"/>
    <w:multiLevelType w:val="hybridMultilevel"/>
    <w:tmpl w:val="92B0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34"/>
    <w:rsid w:val="000009DC"/>
    <w:rsid w:val="0000125D"/>
    <w:rsid w:val="000028D8"/>
    <w:rsid w:val="000157BB"/>
    <w:rsid w:val="00026CDB"/>
    <w:rsid w:val="0005644B"/>
    <w:rsid w:val="00056505"/>
    <w:rsid w:val="000A66DB"/>
    <w:rsid w:val="000B4668"/>
    <w:rsid w:val="000C3824"/>
    <w:rsid w:val="000C4B46"/>
    <w:rsid w:val="000D548E"/>
    <w:rsid w:val="000F7ADA"/>
    <w:rsid w:val="00101F77"/>
    <w:rsid w:val="00130F24"/>
    <w:rsid w:val="001357F6"/>
    <w:rsid w:val="00140156"/>
    <w:rsid w:val="0014318B"/>
    <w:rsid w:val="00153B9B"/>
    <w:rsid w:val="001617CA"/>
    <w:rsid w:val="00163EE5"/>
    <w:rsid w:val="00164C6F"/>
    <w:rsid w:val="0018036F"/>
    <w:rsid w:val="001A397C"/>
    <w:rsid w:val="001A512F"/>
    <w:rsid w:val="001B7245"/>
    <w:rsid w:val="001D6D0B"/>
    <w:rsid w:val="0020011B"/>
    <w:rsid w:val="002174DF"/>
    <w:rsid w:val="002546D2"/>
    <w:rsid w:val="0025757A"/>
    <w:rsid w:val="00274635"/>
    <w:rsid w:val="002769A7"/>
    <w:rsid w:val="00282A2F"/>
    <w:rsid w:val="002B48F2"/>
    <w:rsid w:val="002D514A"/>
    <w:rsid w:val="002D69A1"/>
    <w:rsid w:val="002F5160"/>
    <w:rsid w:val="00317587"/>
    <w:rsid w:val="003259F6"/>
    <w:rsid w:val="00336859"/>
    <w:rsid w:val="003513D7"/>
    <w:rsid w:val="00356E18"/>
    <w:rsid w:val="0037178D"/>
    <w:rsid w:val="003721E6"/>
    <w:rsid w:val="00393455"/>
    <w:rsid w:val="003A1D05"/>
    <w:rsid w:val="003B4A89"/>
    <w:rsid w:val="003D2F7F"/>
    <w:rsid w:val="003D5407"/>
    <w:rsid w:val="00420F66"/>
    <w:rsid w:val="00430256"/>
    <w:rsid w:val="004378FF"/>
    <w:rsid w:val="00440BD3"/>
    <w:rsid w:val="004423AB"/>
    <w:rsid w:val="0044674F"/>
    <w:rsid w:val="00453CD7"/>
    <w:rsid w:val="00454FA8"/>
    <w:rsid w:val="00470976"/>
    <w:rsid w:val="00480D2A"/>
    <w:rsid w:val="00481466"/>
    <w:rsid w:val="00486909"/>
    <w:rsid w:val="004C02A2"/>
    <w:rsid w:val="004E5674"/>
    <w:rsid w:val="004E6893"/>
    <w:rsid w:val="00505774"/>
    <w:rsid w:val="00527606"/>
    <w:rsid w:val="00561BCD"/>
    <w:rsid w:val="0058330C"/>
    <w:rsid w:val="00585D8D"/>
    <w:rsid w:val="00587ABC"/>
    <w:rsid w:val="005A623B"/>
    <w:rsid w:val="005A6A5B"/>
    <w:rsid w:val="005A7F4D"/>
    <w:rsid w:val="005B7A80"/>
    <w:rsid w:val="005F1A7D"/>
    <w:rsid w:val="005F55AF"/>
    <w:rsid w:val="005F68B3"/>
    <w:rsid w:val="006045A9"/>
    <w:rsid w:val="006221A4"/>
    <w:rsid w:val="00653460"/>
    <w:rsid w:val="006861BF"/>
    <w:rsid w:val="006A7E66"/>
    <w:rsid w:val="006B05DE"/>
    <w:rsid w:val="0072737D"/>
    <w:rsid w:val="0075553B"/>
    <w:rsid w:val="0076072D"/>
    <w:rsid w:val="00766C47"/>
    <w:rsid w:val="007A1FCB"/>
    <w:rsid w:val="007A5ED3"/>
    <w:rsid w:val="007B5D35"/>
    <w:rsid w:val="007C0140"/>
    <w:rsid w:val="007D3409"/>
    <w:rsid w:val="007D7E14"/>
    <w:rsid w:val="007E5600"/>
    <w:rsid w:val="007E5D04"/>
    <w:rsid w:val="007F1340"/>
    <w:rsid w:val="00814122"/>
    <w:rsid w:val="00872774"/>
    <w:rsid w:val="008A1C41"/>
    <w:rsid w:val="008A3CEA"/>
    <w:rsid w:val="008B3E31"/>
    <w:rsid w:val="008C18A3"/>
    <w:rsid w:val="008C6B3E"/>
    <w:rsid w:val="008D284E"/>
    <w:rsid w:val="009041D1"/>
    <w:rsid w:val="0092405B"/>
    <w:rsid w:val="00926AD8"/>
    <w:rsid w:val="0094701C"/>
    <w:rsid w:val="00965238"/>
    <w:rsid w:val="009B0478"/>
    <w:rsid w:val="009D13F4"/>
    <w:rsid w:val="009F2201"/>
    <w:rsid w:val="00A138EC"/>
    <w:rsid w:val="00A14BD7"/>
    <w:rsid w:val="00A17C59"/>
    <w:rsid w:val="00A2301D"/>
    <w:rsid w:val="00A31368"/>
    <w:rsid w:val="00A53253"/>
    <w:rsid w:val="00A569F3"/>
    <w:rsid w:val="00A93279"/>
    <w:rsid w:val="00AA2D25"/>
    <w:rsid w:val="00AB1489"/>
    <w:rsid w:val="00AB7B99"/>
    <w:rsid w:val="00AE04C6"/>
    <w:rsid w:val="00AF45DB"/>
    <w:rsid w:val="00AF6952"/>
    <w:rsid w:val="00AF6D9C"/>
    <w:rsid w:val="00B07ED9"/>
    <w:rsid w:val="00B62122"/>
    <w:rsid w:val="00B64143"/>
    <w:rsid w:val="00B87780"/>
    <w:rsid w:val="00BA09A3"/>
    <w:rsid w:val="00BA5738"/>
    <w:rsid w:val="00BB34EB"/>
    <w:rsid w:val="00BD2A2B"/>
    <w:rsid w:val="00BD739B"/>
    <w:rsid w:val="00BE6701"/>
    <w:rsid w:val="00BF6000"/>
    <w:rsid w:val="00BF6B56"/>
    <w:rsid w:val="00C05D15"/>
    <w:rsid w:val="00C1307A"/>
    <w:rsid w:val="00C16702"/>
    <w:rsid w:val="00C3237C"/>
    <w:rsid w:val="00C46F56"/>
    <w:rsid w:val="00C76B42"/>
    <w:rsid w:val="00CA40BB"/>
    <w:rsid w:val="00CB3F1C"/>
    <w:rsid w:val="00CB570E"/>
    <w:rsid w:val="00CC24D1"/>
    <w:rsid w:val="00D12BF4"/>
    <w:rsid w:val="00D42A1B"/>
    <w:rsid w:val="00D86744"/>
    <w:rsid w:val="00D97A0A"/>
    <w:rsid w:val="00D97F63"/>
    <w:rsid w:val="00DB47C7"/>
    <w:rsid w:val="00DC0434"/>
    <w:rsid w:val="00DC1633"/>
    <w:rsid w:val="00DF56EC"/>
    <w:rsid w:val="00E021F6"/>
    <w:rsid w:val="00E2381B"/>
    <w:rsid w:val="00E27DF9"/>
    <w:rsid w:val="00E33595"/>
    <w:rsid w:val="00E34BFC"/>
    <w:rsid w:val="00E60C3A"/>
    <w:rsid w:val="00E63B40"/>
    <w:rsid w:val="00E838D0"/>
    <w:rsid w:val="00E96148"/>
    <w:rsid w:val="00EA02FE"/>
    <w:rsid w:val="00EC1696"/>
    <w:rsid w:val="00ED7C64"/>
    <w:rsid w:val="00EF5DA2"/>
    <w:rsid w:val="00F21E00"/>
    <w:rsid w:val="00F255F2"/>
    <w:rsid w:val="00F26565"/>
    <w:rsid w:val="00F26715"/>
    <w:rsid w:val="00F44A84"/>
    <w:rsid w:val="00F91E0A"/>
    <w:rsid w:val="00FB0CFB"/>
    <w:rsid w:val="00FC061D"/>
    <w:rsid w:val="00FC213F"/>
    <w:rsid w:val="00FE1BCD"/>
    <w:rsid w:val="00FE473B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980198"/>
  <w15:docId w15:val="{EF7666C0-5AD6-454B-A2EE-298DB82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F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F5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FD6189B35E45A52473BCEB7E328A" ma:contentTypeVersion="13" ma:contentTypeDescription="Create a new document." ma:contentTypeScope="" ma:versionID="e546071557995a5e2b94aa36f5d536a1">
  <xsd:schema xmlns:xsd="http://www.w3.org/2001/XMLSchema" xmlns:xs="http://www.w3.org/2001/XMLSchema" xmlns:p="http://schemas.microsoft.com/office/2006/metadata/properties" xmlns:ns3="034f807c-094b-4332-935f-00b24bf8c526" xmlns:ns4="c93b9354-0d01-4804-bd3d-18adf0c4c298" targetNamespace="http://schemas.microsoft.com/office/2006/metadata/properties" ma:root="true" ma:fieldsID="634a3487291aa32d3334c985636d9c47" ns3:_="" ns4:_="">
    <xsd:import namespace="034f807c-094b-4332-935f-00b24bf8c526"/>
    <xsd:import namespace="c93b9354-0d01-4804-bd3d-18adf0c4c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807c-094b-4332-935f-00b24bf8c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b9354-0d01-4804-bd3d-18adf0c4c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962B-D27B-45E9-9E03-53FE1CA11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2E7F8-3519-4B81-BE96-4A81F00A45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b9354-0d01-4804-bd3d-18adf0c4c298"/>
    <ds:schemaRef ds:uri="http://purl.org/dc/elements/1.1/"/>
    <ds:schemaRef ds:uri="http://schemas.microsoft.com/office/2006/metadata/properties"/>
    <ds:schemaRef ds:uri="034f807c-094b-4332-935f-00b24bf8c5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C447B0-39B7-4E6C-A845-54C79A413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f807c-094b-4332-935f-00b24bf8c526"/>
    <ds:schemaRef ds:uri="c93b9354-0d01-4804-bd3d-18adf0c4c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2C9E2-AD96-4B39-96D4-8D179ED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Stacey Carrington</cp:lastModifiedBy>
  <cp:revision>2</cp:revision>
  <cp:lastPrinted>2019-01-02T08:23:00Z</cp:lastPrinted>
  <dcterms:created xsi:type="dcterms:W3CDTF">2021-02-04T08:41:00Z</dcterms:created>
  <dcterms:modified xsi:type="dcterms:W3CDTF">2021-02-04T08:41:00Z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0x01010068B5FD6189B35E45A52473BCEB7E328A</vt:lpwstr>
  </property>
</Properties>
</file>